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Техническое задание по Лоту №1</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По открытому запросу предложений  № 167 673</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Для нужд: ООО "Газпром межрегионгаз Иваново"</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578" w:type="dxa"/>
            <w:vMerge w:val="restart"/>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1.</w:t>
            </w:r>
          </w:p>
        </w:tc>
        <w:tc>
          <w:tcPr>
            <w:tcW w:w="8381" w:type="dxa"/>
            <w:vMerge w:val="restart"/>
            <w:gridSpan w:val="29"/>
            <w:shd w:val="clear" w:color="FFFFFF" w:fill="auto"/>
            <w:textDirection w:val="lrTb"/>
            <w:vAlign w:val="center"/>
            <w:tcBorders>
              <w:top w:val="single" w:sz="5" w:space="0" w:color="auto"/>
              <w:left w:val="single" w:sz="5" w:space="0" w:color="auto"/>
              <w:bottom w:val="single" w:sz="5" w:space="0" w:color="auto"/>
            </w:tcBorders>
          </w:tcPr>
          <w:p>
            <w:pPr>
              <w:jc w:val="left"/>
            </w:pPr>
            <w:r>
              <w:rPr>
                <w:rFonts w:ascii="Times New Roman" w:hAnsi="Times New Roman"/>
                <w:b/>
                <w:sz w:val="22"/>
                <w:szCs w:val="22"/>
              </w:rPr>
              <w:t>Предмет закупки.</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ОКДП</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ОКВЭД</w:t>
            </w:r>
          </w:p>
        </w:tc>
      </w:tr>
      <w:tr>
        <w:trPr>
          <w:trHeight w:val="300" w:hRule="atLeast"/>
        </w:trPr>
        <w:tc>
          <w:tcPr>
            <w:tcW w:w="578" w:type="dxa"/>
            <w:vMerge w:val="continue"/>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1.</w:t>
            </w:r>
          </w:p>
        </w:tc>
        <w:tc>
          <w:tcPr>
            <w:tcW w:w="8381" w:type="dxa"/>
            <w:vMerge w:val="continue"/>
            <w:gridSpan w:val="29"/>
            <w:shd w:val="clear" w:color="FFFFFF" w:fill="auto"/>
            <w:textDirection w:val="lrTb"/>
            <w:vAlign w:val="center"/>
            <w:tcBorders>
              <w:top w:val="single" w:sz="5" w:space="0" w:color="auto"/>
              <w:left w:val="single" w:sz="5" w:space="0" w:color="auto"/>
              <w:bottom w:val="single" w:sz="5" w:space="0" w:color="auto"/>
            </w:tcBorders>
          </w:tcPr>
          <w:p>
            <w:pPr>
              <w:jc w:val="left"/>
            </w:pPr>
            <w:r>
              <w:rPr>
                <w:rFonts w:ascii="Times New Roman" w:hAnsi="Times New Roman"/>
                <w:b/>
                <w:sz w:val="22"/>
                <w:szCs w:val="22"/>
              </w:rPr>
              <w:t>Предмет закупки.</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
            </w:r>
          </w:p>
        </w:tc>
      </w:tr>
      <w:tr>
        <w:trPr>
          <w:trHeight w:val="97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w:t>
              <w:br/>
              <w:t>
п/п</w:t>
            </w:r>
          </w:p>
        </w:tc>
        <w:tc>
          <w:tcPr>
            <w:tcW w:w="5202" w:type="dxa"/>
            <w:gridSpan w:val="18"/>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0"/>
                <w:szCs w:val="20"/>
              </w:rPr>
              <w:t>Наименование предмета закупки</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Ед.</w:t>
              <w:br/>
              <w:t>
изм.</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Колич</w:t>
              <w:br/>
              <w:t>
ество</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Допустимость эквивалента</w:t>
            </w:r>
          </w:p>
        </w:tc>
        <w:tc>
          <w:tcPr>
            <w:tcW w:w="2890" w:type="dxa"/>
            <w:gridSpan w:val="10"/>
            <w:shd w:val="clear" w:color="FFFFFF" w:fill="auto"/>
            <w:textDirection w:val="lrTb"/>
            <w:vAlign w:val="center"/>
            <w:tcBorders>
              <w:top w:val="single" w:sz="5" w:space="0" w:color="auto"/>
              <w:left w:val="single" w:sz="5" w:space="0" w:color="auto"/>
            </w:tcBorders>
          </w:tcPr>
          <w:p>
            <w:pPr>
              <w:jc w:val="center"/>
            </w:pPr>
            <w:r>
              <w:rPr>
                <w:rFonts w:ascii="Times New Roman" w:hAnsi="Times New Roman"/>
                <w:sz w:val="20"/>
                <w:szCs w:val="20"/>
              </w:rPr>
              <w:t>Грузополучатель</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Место (адрес) поставки товара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Блок системный IRU Corp 310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7,000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93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Процессор не менне G3260 (3.3), но не более intel i7</w:t>
              <w:br/>
              <w:t>
Оперативная память не менне  4Gb, но не более 16 Gb</w:t>
              <w:br/>
              <w:t>
Жесткий диск не менее 500Gb, но не более 4 Tb</w:t>
              <w:br/>
              <w:t>
Оптический привод не менее DVDRW</w:t>
              <w:br/>
              <w:t>
Операционная система не менее Windows 10 Professional 64</w:t>
              <w:br/>
              <w:t>
Сетевая карта не менее 1 GbitEth, не более 10 GbitEth Блок питания не менее 400W, не более 1200W</w:t>
              <w:br/>
              <w:t>
</w:t>
              <w:br/>
              <w:t>
Комплексная система мониторинга и управления Annt iRU SP Price(Расширенная версия с SMS не менее чем на 5 лет, не более чем на 10 лет)</w:t>
              <w:br/>
              <w:t>
</w:t>
            </w:r>
          </w:p>
        </w:tc>
      </w:tr>
      <w:tr>
        <w:trPr>
          <w:trHeight w:val="120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G3260 (3.3)/4Gb/500Gb</w:t>
              <w:br/>
              <w:t>
7.2k/HDG/DVDRW/Windows 10 Professional 64/GbitEth/400W/черный</w:t>
              <w:br/>
              <w:t>
</w:t>
              <w:br/>
              <w:t>
</w:t>
              <w:br/>
              <w:t>
Комплексная система мониторинга и управления Annt iRU SP Price(Расширенная версия с SMS на 5 лет)</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оптический Cisco X2-10GB-LR</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360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Тип устройства: Plug-in module
</w:t>
              <w:br/>
              <w:t>
Форм-фактор: X2
</w:t>
              <w:br/>
              <w:t>
Date Rate: 10.3Gbps
</w:t>
              <w:br/>
              <w:t>
Длина волны:1310 нм
</w:t>
              <w:br/>
              <w:t>
Максимальное расстояние: 10km
</w:t>
              <w:br/>
              <w:t>
Чувствительность приемника:-15dBm
</w:t>
              <w:br/>
              <w:t>
Напряжение:5,0 В / +3,3 В
</w:t>
              <w:br/>
              <w:t>
Потребляемая мощность:&lt;4W 
</w:t>
              <w:br/>
              <w:t>
Разъем:Dual SC / PC
</w:t>
              <w:br/>
              <w:t>
Тип волокна:SMF 
</w:t>
              <w:br/>
              <w:t>
Рабочая температура:0 ~ 70 ° C
</w:t>
              <w:br/>
              <w:t>
</w:t>
              <w:br/>
              <w:t>
</w:t>
              <w:br/>
              <w:t>
</w:t>
              <w:br/>
              <w:t>
ГОСТ Р МЭК 60950-1-2005,ГОСТ Р 51318.22-99,ГОСТ Р 51318.24-99,ГОСТ Р 51317.3.2-2006,ГОСТ Р 51317.3.3</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управляющий APC Symmetra LX SYMIM5</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Размеры, вес 168x41x499 мм; 2,27 кг</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4</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Cisco EHWIC-4ESG-P=</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3,000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Порты:4хRJ-45 WAN 10/100/1000Base-T PoE.</w:t>
              <w:br/>
              <w:t>
</w:t>
            </w:r>
          </w:p>
        </w:tc>
      </w:tr>
      <w:tr>
        <w:trPr>
          <w:trHeight w:val="73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5</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Ноутбук DELL LATITUDE 5580 Intel Core i5 6300U 2400 MHz/15.6"/1920x1080/8Gb/1000Gb HDD/DVD нет/Intel HD Graphics 520/Wi-Fi/Bluetooth/Linux</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38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Процессор не менее Intel Core i5 6300U 2400 MHz, но не более Intel Core i5 6300U 2400Hz</w:t>
              <w:br/>
              <w:t>
Диагональ не менее 15.6, но не более 17</w:t>
              <w:br/>
              <w:t>
Разрешение экрана не менее 1920x1080</w:t>
              <w:br/>
              <w:t>
Оперативная память не менее 8 Gb, но не более 16Gb</w:t>
              <w:br/>
              <w:t>
Жесткий диск не менее 1Tb, но не более 4Tb</w:t>
              <w:br/>
              <w:t>
Видеокарта не менее Intel HD Graphics 520</w:t>
              <w:br/>
              <w:t>
Bluetooth не менее 2.1, но не более 4.2 версии</w:t>
              <w:br/>
              <w:t>
Операционная система не менее Windows 7 Pro x64, не более Windows 10 Prof 64x</w:t>
              <w:br/>
              <w:t>
Высота (мм)</w:t>
              <w:br/>
              <w:t>
не менее 251, не более 255</w:t>
              <w:br/>
              <w:t>
Ширина (мм)</w:t>
              <w:br/>
              <w:t>
не менее 376, не более 380</w:t>
              <w:br/>
              <w:t>
Толщина (мм)</w:t>
              <w:br/>
              <w:t>
не менее 23, не более 25</w:t>
              <w:br/>
              <w:t>
Вес (г)</w:t>
              <w:br/>
              <w:t>
не менее 1900, не более 2000</w:t>
            </w:r>
          </w:p>
        </w:tc>
      </w:tr>
      <w:tr>
        <w:trPr>
          <w:trHeight w:val="216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Intel Core i5 6300U 2400 MHz/15.6"/1920x1080/8Gb/1000Gb HDD/DVD нет/Intel HD Graphics 520/Wi-Fi/Bluetooth/Linux</w:t>
              <w:br/>
              <w:t>
Высота (мм)</w:t>
              <w:br/>
              <w:t>
251</w:t>
              <w:br/>
              <w:t>
Ширина (мм)</w:t>
              <w:br/>
              <w:t>
376</w:t>
              <w:br/>
              <w:t>
Толщина (мм)</w:t>
              <w:br/>
              <w:t>
23</w:t>
              <w:br/>
              <w:t>
Вес (г)</w:t>
              <w:br/>
              <w:t>
1900</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6</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Плата форматтера HP LJ M2727nf/nfs CC370-60001</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7</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беспроводная Logitech В170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241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Время работы не менее 12 месяцев</w:t>
              <w:br/>
              <w:t>
не менее одного колеса прокрутки</w:t>
              <w:br/>
              <w:t>
не менее 3 клавиш</w:t>
              <w:br/>
              <w:t>
Источник питания мыши не менее 1xAA, но не более 2xAA</w:t>
              <w:br/>
              <w:t>
Размеры (ШxВxД)</w:t>
              <w:br/>
              <w:t>
Ширина не менее 62 мм, но не более 63 мм</w:t>
              <w:br/>
              <w:t>
высота не менее 35 мм но не более 36 мм</w:t>
              <w:br/>
              <w:t>
длина не менее 98 мм, но не более 99 мм</w:t>
              <w:br/>
              <w:t>
Радиус действия беспроводной связи не менее</w:t>
              <w:br/>
              <w:t>
10 м</w:t>
            </w:r>
          </w:p>
        </w:tc>
      </w:tr>
      <w:tr>
        <w:trPr>
          <w:trHeight w:val="768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Комплектация</w:t>
              <w:br/>
              <w:t>
мышь</w:t>
              <w:br/>
              <w:t>
Вертикальная</w:t>
              <w:br/>
              <w:t>
нет</w:t>
              <w:br/>
              <w:t>
Назначение</w:t>
              <w:br/>
              <w:t>
ноутбук</w:t>
              <w:br/>
              <w:t>
Тип беспроводной связи</w:t>
              <w:br/>
              <w:t>
радиоканал</w:t>
              <w:br/>
              <w:t>
Интерфейс подключения</w:t>
              <w:br/>
              <w:t>
USB</w:t>
              <w:br/>
              <w:t>
Цвет</w:t>
              <w:br/>
              <w:t>
серый</w:t>
              <w:br/>
              <w:t>
Время работы</w:t>
              <w:br/>
              <w:t>
12 месяцев</w:t>
              <w:br/>
              <w:t>
Мышь</w:t>
              <w:br/>
              <w:t>
Принцип работы</w:t>
              <w:br/>
              <w:t>
оптическая светодиодная</w:t>
              <w:br/>
              <w:t>
Беспроводная связь</w:t>
              <w:br/>
              <w:t>
есть</w:t>
              <w:br/>
              <w:t>
Дизайн</w:t>
              <w:br/>
              <w:t>
для правой и левой руки</w:t>
              <w:br/>
              <w:t>
Колесо прокрутки</w:t>
              <w:br/>
              <w:t>
есть</w:t>
              <w:br/>
              <w:t>
Количество клавиш</w:t>
              <w:br/>
              <w:t>
3</w:t>
              <w:br/>
              <w:t>
Источник питания мыши</w:t>
              <w:br/>
              <w:t>
1xAA</w:t>
              <w:br/>
              <w:t>
Габариты</w:t>
              <w:br/>
              <w:t>
Размеры (ШxВxД)</w:t>
              <w:br/>
              <w:t>
62x35x98 мм</w:t>
              <w:br/>
              <w:t>
Радиус действия беспроводной связи</w:t>
              <w:br/>
              <w:t>
10 м</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8</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Sculpt Ergonomic</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69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Радиус действия беспроводной связи</w:t>
              <w:br/>
              <w:t>
не менее 10 м, не более 12 м</w:t>
              <w:br/>
              <w:t>
Общее количество кнопок	не менее 4, но не более 5</w:t>
              <w:br/>
              <w:t>
Максимальное разрешение датчика	не менее 1000 dpi</w:t>
              <w:br/>
              <w:t>
 Размеры </w:t>
              <w:br/>
              <w:t>
Ширина не менее 57мм, не более 58</w:t>
              <w:br/>
              <w:t>
Длина не менее98 мм, не более 99</w:t>
            </w:r>
          </w:p>
        </w:tc>
      </w:tr>
      <w:tr>
        <w:trPr>
          <w:trHeight w:val="240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Основной цвет	черный</w:t>
              <w:br/>
              <w:t>
Подсветка	нет</w:t>
              <w:br/>
              <w:t>
Общее количество кнопок	4</w:t>
              <w:br/>
              <w:t>
Дополнительные кнопки	кнопка Windows</w:t>
              <w:br/>
              <w:t>
Тип сенсора мыши	оптический светодиодный</w:t>
              <w:br/>
              <w:t>
Максимальное разрешение датчика	1000 dpi</w:t>
              <w:br/>
              <w:t>
Тип подключения	беспроводная</w:t>
              <w:br/>
              <w:t>
 (ШxД) 57x98 мм</w:t>
              <w:br/>
              <w:t>
Радиус действия беспроводной связи</w:t>
              <w:br/>
              <w:t>
10 м</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9</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Wireless Mobile 4000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69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Ширина не менее 60 мм не более 61 мм</w:t>
              <w:br/>
              <w:t>
Высота не менее 39 мм не более 40 мм</w:t>
              <w:br/>
              <w:t>
Длина не менее 102 мм не более 103 мм</w:t>
              <w:br/>
              <w:t>
Вес не менее 105 г не более 106 г.</w:t>
              <w:br/>
              <w:t>
Радиус действия беспроводной связи не менее 10 м</w:t>
              <w:br/>
              <w:t>
не более 12 м</w:t>
              <w:br/>
              <w:t>
Режимы работы датчика не менее 1000 dpi не более 1200 dpi</w:t>
            </w:r>
          </w:p>
        </w:tc>
      </w:tr>
      <w:tr>
        <w:trPr>
          <w:trHeight w:val="288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Беспроводная 1000 USB для ноутбука 3 (D5D-00133)</w:t>
              <w:br/>
              <w:t>
Серия - WirelessMobile</w:t>
              <w:br/>
              <w:t>
Модель - 4000</w:t>
              <w:br/>
              <w:t>
Тип оборудования - Мышь</w:t>
              <w:br/>
              <w:t>
Цвета, использованные в оформлении - Черный</w:t>
              <w:br/>
              <w:t>
Тип сенсора - Оптический (BlueTrack)</w:t>
              <w:br/>
              <w:t>
Тип мыши (беспроводная или проводная) - Беспроводная</w:t>
              <w:br/>
              <w:t>
Миниатюрный USB-ресиве</w:t>
              <w:br/>
              <w:t>
Радиус действия беспроводной связи</w:t>
              <w:br/>
              <w:t>
10 м</w:t>
              <w:br/>
              <w:t>
Режимы работы датчика</w:t>
              <w:br/>
              <w:t>
1000 dpi</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10</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CBR Simple S14, Green</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4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Ширина не менее 61мм, не более 62 мм</w:t>
              <w:br/>
              <w:t>
Высота не менее 43мм не более 44</w:t>
              <w:br/>
              <w:t>
Глубина не менее 92 мм не более 93</w:t>
              <w:br/>
              <w:t>
Радиус действия не менее 10м, не более 12м</w:t>
            </w:r>
          </w:p>
        </w:tc>
      </w:tr>
      <w:tr>
        <w:trPr>
          <w:trHeight w:val="120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Тип	Мышь</w:t>
              <w:br/>
              <w:t>
Модель	S14 Green</w:t>
              <w:br/>
              <w:t>
Тип связи	Беспроводная 2.4ГГц</w:t>
              <w:br/>
              <w:t>
Радиус действия	10</w:t>
              <w:br/>
              <w:t>
Совместимость	PC</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Cisco SFP GLC-SX-MM</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Модуль Cisco SFP GLC-SX-MM</w:t>
              <w:br/>
              <w:t>
Cisco GE SFP, LC Connector SX Transceiver, 1000 Мбит/с, 1000Base-SX, LC, Проводная, 850 нм, 550м</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12</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Монитор AOC E2280SWN</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7,000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4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размер экрана не менее 21.5",</w:t>
              <w:br/>
              <w:t>
Разрешение не менее 1920×1080,</w:t>
              <w:br/>
              <w:t>
яркость не менее 200кд/м2</w:t>
              <w:br/>
              <w:t>
время отклика не менее 5мс</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размер экрана: 21.5", широкоформатная матрица TN+film с разрешением 1920×1080, отношением сторон 16:9, яркостью 200кд/м2, временем отклика 5мс, разъем D-SUB (VGA)</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13</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Блок питания HP P/n 611479-001 (Spare P/N 613663-001)</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613663-001 БЛОК ПИТАНИЯ HP POWER SUPPLY UNIT RATED AT 12VDC OUTPUT 240-WATTS FOUR OUTPUTS</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14</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Comfort Mouse 6000 for Business Black USB</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4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не менее 5 клавиш, не более 6</w:t>
              <w:br/>
              <w:t>
разрешение сенсора мыши  не менее 1000 dpi, не более 1500 dpi</w:t>
              <w:br/>
              <w:t>
размеры (ШxВxД): ширина не менее 72 мм, не более 73мм</w:t>
              <w:br/>
              <w:t>
Высота не менее 42мм, не более 43мм,</w:t>
              <w:br/>
              <w:t>
Длина не менее130 мм, не более 131</w:t>
              <w:br/>
              <w:t>
вес: не менее 114 г, не более 115 г.</w:t>
            </w:r>
          </w:p>
        </w:tc>
      </w:tr>
      <w:tr>
        <w:trPr>
          <w:trHeight w:val="168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проводная мышь для правой руки</w:t>
              <w:br/>
              <w:t>
интерфейс USB</w:t>
              <w:br/>
              <w:t>
для настольного компьютера</w:t>
              <w:br/>
              <w:t>
светодиодная, 5 клавиш</w:t>
              <w:br/>
              <w:t>
разрешение сенсора мыши 1000 dpi</w:t>
              <w:br/>
              <w:t>
размеры (ШxВxД): 72x42x130 мм</w:t>
              <w:br/>
              <w:t>
вес: 114 г</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15</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Sculpt Comfort Mouse</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4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Размер ширина не менее 69 мм, не более 70мм</w:t>
              <w:br/>
              <w:t>
длина не менее 110, не более 111 мм</w:t>
              <w:br/>
              <w:t>
Радиус работы не менее 10 м, не более 15</w:t>
              <w:br/>
              <w:t>
Bluetooth  версии не менее 2,1, не более 4.2</w:t>
            </w:r>
          </w:p>
        </w:tc>
      </w:tr>
      <w:tr>
        <w:trPr>
          <w:trHeight w:val="120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тип: оптическая, тип соединения: bluetooth, кнопка Windows для возврата на начальный экран и пролистывания приложений, работа практически на любой поверхности, эргономичный дизайн, сенсор: 1000dpi, количество кнопок: 3, колесо прокрутки, интерфейс: Bluetooth 2,1</w:t>
              <w:br/>
              <w:t>
Радиус работы10 м, </w:t>
              <w:br/>
              <w:t>
Размеры (ШxД)</w:t>
              <w:br/>
              <w:t>
69x110 мм</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16</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Comfort Mouse 4500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4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Колесо прокрутки - не менее 1 шт.</w:t>
              <w:br/>
              <w:t>
Количество клавиш не менее 5 шт.</w:t>
              <w:br/>
              <w:t>
Разрешение оптического сенсора - не менее 1000 dpi</w:t>
              <w:br/>
              <w:t>
Габариты</w:t>
              <w:br/>
              <w:t>
Ширина не менее 68мм, не более 69мм, длина не менее 116 мм, не более 117 мм</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тип: оптическая, тип соединения: проводная, полноразмерная мышь, прорезиненные боковины, проводная, не требуется доп. ПО, сенсор: 1000dpi, количество кнопок: 4, колесо прокрутки, интерфейс: USB</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17</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Хранилище Buffalo’s TeraStation™ 5400 WSS</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26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Жесткие диски не менее 4х1Tb, не более 4х4Tb</w:t>
              <w:br/>
              <w:t>
Внутренние интерфейсы не менее 4x 3.5", SATA 6Gb/s, Hot-Swap, не более 16x 3.5", SATA 6Gb/s, Hot-Swap</w:t>
              <w:br/>
              <w:t>
Внешние интерфейсы не менее 2x Gb LAN, не более 4x Gb LAN</w:t>
              <w:br/>
              <w:t>
Дополнительные разъемы не менее 2x USB 3.0 (Host), 2x USB 2.0 (Host), не более 4x USB 3.0 (Host), 4x USB 2.0 (Host)</w:t>
              <w:br/>
              <w:t>
Процессор не менее Intel Atom D2550, не более intel core i5</w:t>
              <w:br/>
              <w:t>
Оперативная память не менее 2 Гб DDR3, но не более 8 Gb</w:t>
              <w:br/>
              <w:t>
Вентилятор не менее 1x 92mm, не более 4x92mm</w:t>
              <w:br/>
              <w:t>
Операционная система не менее Windows Storage Server 2012 R2 Workgroup, не более Windows DataBase server 2012</w:t>
              <w:br/>
              <w:t>
R2</w:t>
              <w:br/>
              <w:t>
размеры: Ширина не менее 170, не более 171, Высота не менее 215, не более 216 мм, Длина не менее 230 мм, не более 231 мм, Вес не менее 8.50 кг, не более 9 кг.</w:t>
            </w:r>
          </w:p>
        </w:tc>
      </w:tr>
      <w:tr>
        <w:trPr>
          <w:trHeight w:val="168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WS5400DR0404W2EU </w:t>
              <w:br/>
              <w:t>
 (4 x 1TB) WSS 2012 R2 Workgroup </w:t>
              <w:br/>
              <w:t>
HDD: 4x 1 Тб (WD Red) - Внутренние интерфейсы: 4x 3.5", SATA 6Gb/s, Hot-Swap - Внешние интерфейсы: 2x Gb LAN - Дополнительные разъемы: 2x USB 3.0 (Host), 2x USB 2.0 (Host), последовательный - Уровни RAID: 0/1/5/6/10/JBOD/Single - процессор: Intel Atom D2550, 2x 1.86GHz - Оперативная память: 2 Гб DDR3 - вентилятор: 1x 92mm - Потребляемая мощность: 96W (операция, max), не указано ( в режиме ожидания) - размеры (ШхВхГ): 170x215x230mm - вес: 8.50 кг - Отличительные особенности: Windows Storage Server 2012 R2 Workgroup, ISCSI, BitTorrent-клиент, сервер DLNA, FTP-сервер - Гарантия: 3 года</w:t>
              <w:br/>
              <w:t>
</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18</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CC364X</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5,000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экономичный для HP LaserJet P4015, P4515.Ресурс - 24000с., цвет - черный</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19</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CB383A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для HP Сolor LaserJet CP6015, CM6030, CM6040.Ресурс - 21000с., цвет - пурпурный</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20</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CB381A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для HP Сolor LaserJet CP6015, CM6030, CM6040.Ресурс - 21000с., цвет - голубой</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C7553X</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5,000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для HP LaserJet 2014 / 2015 / m2727.Ресурс - 7000с., цвет - черный</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22</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Фотобарабан для картриджа HP CB385A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Для HP LaserJet CP6015, CM6030mfp, CM6040mfp.Ресурс - 23000с., цвет - голубой</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23</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CB382A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для HP Сolor LaserJet CP6015, CM6030, CM6040.Ресурс - 21000с., цвет - желтый</w:t>
              <w:br/>
              <w:t>
</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2.</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Условия поставки товаров</w:t>
            </w:r>
          </w:p>
        </w:tc>
      </w:tr>
      <w:tr>
        <w:trPr>
          <w:trHeight w:val="30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Грузополучатель</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ООО "Газпром межрегионгаз Иваново"</w:t>
            </w:r>
          </w:p>
        </w:tc>
      </w:tr>
      <w:tr>
        <w:trPr>
          <w:trHeight w:val="30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Место (адрес) поставки товаров</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153002, г.Иваново, ул.Жиделева, д.17-А</w:t>
            </w:r>
          </w:p>
        </w:tc>
      </w:tr>
      <w:tr>
        <w:trPr>
          <w:trHeight w:val="57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Обязательное требование к сроку поставки товаров</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Строго в соответствии с графиком поставки товара:</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2.1</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График поставки</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w:t>
              <w:br/>
              <w:t>
п/п</w:t>
            </w:r>
          </w:p>
        </w:tc>
        <w:tc>
          <w:tcPr>
            <w:tcW w:w="4624" w:type="dxa"/>
            <w:gridSpan w:val="16"/>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0"/>
                <w:szCs w:val="20"/>
              </w:rPr>
              <w:t>Наименование</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Срок поставки товара на склад грузополучателя</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Колич</w:t>
              <w:br/>
              <w:t>
ество</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Ед.</w:t>
              <w:br/>
              <w:t>
изм.</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Место (адрес) поставки товара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Блок системный IRU Corp 310</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7,000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оптический Cisco X2-10GB-LR</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управляющий APC Symmetra LX SYMIM5</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4</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Cisco EHWIC-4ESG-P=</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3,000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5</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Ноутбук DELL LATITUDE 5580 Intel Core i5 6300U 2400 MHz/15.6"/1920x1080/8Gb/1000Gb HDD/DVD нет/Intel HD Graphics 520/Wi-Fi/Bluetooth/Linux</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6</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Плата форматтера HP LJ M2727nf/nfs CC370-60001</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7</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беспроводная Logitech В170</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8</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Sculpt Ergonomic</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9</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Wireless Mobile 4000</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10</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CBR Simple S14, Green</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11</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Cisco SFP GLC-SX-MM</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12</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Монитор AOC E2280SWN</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7,000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13</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Блок питания HP P/n 611479-001 (Spare P/N 613663-001)</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14</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Comfort Mouse 6000 for Business Black USB</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15</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Sculpt Comfort Mouse</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16</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Мышь компьютерная Microsoft Comfort Mouse 4500</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17</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Хранилище Buffalo’s TeraStation™ 5400 WSS</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18</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CC364X</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5,000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19</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CB383A</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20</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CB381A</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21</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C7553X</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5,000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22</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Фотобарабан для картриджа HP CB385A</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23</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печати HP CB382A</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от  20 до 21 календарных дней со дня заключения договора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3.</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Условия проведения закупочной процедуры.</w:t>
            </w:r>
          </w:p>
        </w:tc>
      </w:tr>
      <w:tr>
        <w:trPr>
          <w:trHeight w:val="84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Начальная (максимальная)  цена предмета закупки для участников, не освобожденных от уплаты НДС (с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820 559,74</w:t>
            </w:r>
          </w:p>
        </w:tc>
        <w:tc>
          <w:tcPr>
            <w:tcW w:w="2312" w:type="dxa"/>
            <w:vMerge w:val="restart"/>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restart"/>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Открытый запрос предложений в электронной форме</w:t>
            </w:r>
          </w:p>
        </w:tc>
      </w:tr>
      <w:tr>
        <w:trPr>
          <w:trHeight w:val="30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В том числе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125 170,12</w:t>
            </w:r>
          </w:p>
        </w:tc>
        <w:tc>
          <w:tcPr>
            <w:tcW w:w="2312" w:type="dxa"/>
            <w:vMerge w:val="continue"/>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continue"/>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Открытый запрос предложений в электронной форме</w:t>
            </w:r>
          </w:p>
        </w:tc>
      </w:tr>
      <w:tr>
        <w:trPr>
          <w:trHeight w:val="138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695 389,62</w:t>
            </w:r>
          </w:p>
        </w:tc>
        <w:tc>
          <w:tcPr>
            <w:tcW w:w="2312" w:type="dxa"/>
            <w:vMerge w:val="continue"/>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continue"/>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Открытый запрос предложений в электронной форме</w:t>
            </w:r>
          </w:p>
        </w:tc>
      </w:tr>
      <w:tr>
        <w:trPr>
          <w:trHeight w:val="300" w:hRule="atLeast"/>
        </w:trPr>
        <w:tc>
          <w:tcPr>
            <w:tcW w:w="6647" w:type="dxa"/>
            <w:gridSpan w:val="2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b/>
                <w:sz w:val="22"/>
                <w:szCs w:val="22"/>
              </w:rPr>
              <w:t>Обязательное требование к условиям оплаты товара </w:t>
            </w:r>
          </w:p>
        </w:tc>
        <w:tc>
          <w:tcPr>
            <w:tcW w:w="7803" w:type="dxa"/>
            <w:gridSpan w:val="27"/>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Оплата в течение 30 календарных дней с момента поставки</w:t>
            </w:r>
          </w:p>
        </w:tc>
      </w:tr>
    </w:tbl>
    <w:sectPr>
      <w:pgSz w:w="16839" w:h="11907" w:orient="landscape"/>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